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0"/>
          <w:szCs w:val="40"/>
        </w:rPr>
        <w:t>部门整体绩效评价报告</w:t>
      </w:r>
    </w:p>
    <w:p>
      <w:pPr>
        <w:spacing w:line="560" w:lineRule="exact"/>
        <w:ind w:firstLine="420" w:firstLineChars="200"/>
        <w:jc w:val="center"/>
        <w:rPr>
          <w:rFonts w:ascii="仿宋_GB2312"/>
          <w:szCs w:val="30"/>
        </w:rPr>
      </w:pPr>
    </w:p>
    <w:p>
      <w:pPr>
        <w:spacing w:line="56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微软雅黑" w:eastAsia="仿宋_GB2312"/>
          <w:color w:val="404040"/>
        </w:rPr>
      </w:pPr>
      <w:r>
        <w:rPr>
          <w:rFonts w:hint="eastAsia" w:ascii="仿宋_GB2312" w:hAnsi="仿宋" w:eastAsia="仿宋_GB2312"/>
          <w:sz w:val="32"/>
          <w:szCs w:val="32"/>
        </w:rPr>
        <w:t>三里屯街道工委、办事处设置下列6个内设机构，分别为综合办公室（统计所）、党群工作办公室、平安建设办公室(司法所)、城市管理办公室、社区建设办公室、民生保障办公室；设三里屯街道纪工委、监察组；设三里屯街道综合行政执法队；三里屯街道下属3个事业单位，分别为便民服务中心(退役军人服务站)、市民活动中心(党群活动中心)、市民诉求处置中心(综治中心)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</w:t>
      </w:r>
      <w:r>
        <w:rPr>
          <w:rFonts w:hint="eastAsia" w:ascii="仿宋_GB2312" w:hAnsi="仿宋" w:eastAsia="仿宋_GB2312"/>
          <w:sz w:val="32"/>
          <w:szCs w:val="32"/>
        </w:rPr>
        <w:t>要职责为：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1.贯彻执行法律、法规、规章和市、区政府的决定、命令，依法管理基层公共事务。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2.承担辖区市容环境卫生、绿化美化的管理工作，推进街巷长、河长制工作，组织、协调城市管理综合执法和环境秩序综合治理工作，推进城市精细化管理。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3.协助依法履行安全生产、消防安全、食品安全、环境保护、劳动保障、统计、流动人口及出租房屋监督管理工作，承担辖区应急、防汛和防灾减灾工作。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4.参与制定并组织实施社区建设规划和公共服务设施规划，组织辖区单位、居民和志愿者队伍为社区发展服务。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5.负责社区居民委员会建设，指导社区居民委员会工作，培育、发展社区社会组织，指导、监督社区业主委员会。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6.推进居民自治，及时处理并向上级政府反映居民的意见和要求。动员社会力量参与社区治理，推动形成社区共治合力。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7.组织开展群众性文化、体育、科普活动，开展法治宣传和社会公德教育，推动社区公益事业发展。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8.组织开展公共服务，落实人力社保、民政、卫生健康、教育、住房保障、便民服务等政策，维护老年人、妇女、未成年人、残疾人等合法权益。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9.承办区政府交办的其他事项。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（二）部门整体绩效目标设立情况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在区委区政府的坚强领导下，聚焦朝阳“1234发展战略”和“五宜”朝阳建设，三里屯街道紧扣经济发展、民生保障、基层治理等方面工作任务，持续提升社会治理水平，不断增进民生福祉，营造宜居城市环境，设定绩效目标：推动商圈经济高质量发展, 深化“文化三里屯”建设，建设国际青年人才创新生态体系。负责维护辖区安全稳定，协调推进社会治安综合治理。负责辖区市容环境卫生、绿化美化管理。组织、协调城市管理综合执法和环境秩序综合治理工作。负责落实就业促进、社会保障、企业退休人员社会化管理服务、低保、社会救助、社会优抚、养老、助残等各项民生政策和措施。主要承担街道大数据管理、应急管理、网格化管理等与城市管理、社会管理等工作。在民政管理、社会保障、社会组织管理、社区治理、行政运行等方面，从可衡量性、重大影响、可操作性、平衡性等维度综合进行考量，设立合理性目标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</w:t>
      </w:r>
      <w:r>
        <w:rPr>
          <w:rFonts w:ascii="黑体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  <w:sz w:val="32"/>
          <w:szCs w:val="32"/>
        </w:rPr>
        <w:t>当年</w:t>
      </w:r>
      <w:r>
        <w:rPr>
          <w:rFonts w:ascii="黑体" w:hAnsi="黑体" w:eastAsia="黑体"/>
          <w:color w:val="000000"/>
          <w:sz w:val="32"/>
          <w:szCs w:val="32"/>
        </w:rPr>
        <w:t>预算执行情况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024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年全年预算数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14253.82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万元，其中，基本支出预算数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5116.75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万元，项目支出预算数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9125.27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万元。资金总体支出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14253.82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万元，其中，基本支出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5116.75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万元，项目支出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9054.06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万元。预算执行率为100%。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>
      <w:p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1.产出数量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党建工作方面，党建活动覆盖辖区全部社区，创新开展网格化党建引领工作，升级改造三里屯港澳青年汇，创设志愿小屋，塑造国际志愿服务品牌；平安建设工作方面，完成各类服务保障，建设辖区内智慧平安社区点位；城市管理工作、社区建设工作、民生保障工作方面，三里屯路漫享街区完成升级改造，创建垃圾分类示范小区、示范商务楼宇示范街区；完成区、街道、社区三级共商共治项目，社区便民生活圈通过市级验收。</w:t>
      </w:r>
      <w:r>
        <w:rPr>
          <w:rFonts w:hint="eastAsia" w:eastAsia="仿宋_GB2312"/>
          <w:bCs/>
          <w:sz w:val="32"/>
          <w:szCs w:val="32"/>
        </w:rPr>
        <w:t>对辖区困难群众、困难老年人、社会救助对象、地退人员等群体进行帮扶。</w:t>
      </w:r>
      <w:r>
        <w:rPr>
          <w:rFonts w:hint="eastAsia" w:ascii="仿宋_GB2312" w:hAnsi="仿宋" w:eastAsia="仿宋_GB2312"/>
          <w:sz w:val="32"/>
          <w:szCs w:val="32"/>
        </w:rPr>
        <w:t>产出数量绩效目标较好完成。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2.产出</w:t>
      </w:r>
      <w:r>
        <w:rPr>
          <w:rFonts w:ascii="仿宋_GB2312" w:hAnsi="仿宋" w:eastAsia="仿宋_GB2312"/>
          <w:sz w:val="32"/>
          <w:szCs w:val="32"/>
        </w:rPr>
        <w:t>质量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党建工作、社区建设工作方面，强化党建引领基层治理，深化“一社一品”社区党建品牌矩阵打造，商圈发展与居民生活品质提升同频共振，本机构及各社区、商圈高效运转；平安建设工作方面，坚决维护首都政治安全，持续保障辖区安全稳定；城市管理工作方面，深化城市片区整体更新，丰富花园城市场景；民生保障工作方面，扎实解决群众急难愁盼问题。产出质量绩效目标完成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3.产出进度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党建工作方面，纵深推动社区党建网格化建设；城市管理工作方面，按期推进疏解整治促提升专项行动；社区建设工作方面，稳步推进各项</w:t>
      </w:r>
      <w:r>
        <w:rPr>
          <w:rFonts w:ascii="仿宋_GB2312" w:hAnsi="仿宋" w:eastAsia="仿宋_GB2312"/>
          <w:sz w:val="32"/>
          <w:szCs w:val="32"/>
        </w:rPr>
        <w:t>共商共治项目</w:t>
      </w:r>
      <w:r>
        <w:rPr>
          <w:rFonts w:hint="eastAsia" w:ascii="仿宋_GB2312" w:hAnsi="仿宋" w:eastAsia="仿宋_GB2312"/>
          <w:sz w:val="32"/>
          <w:szCs w:val="32"/>
        </w:rPr>
        <w:t>；民生保障工作方面，已按进度完成各项民生保障工作。产出进度绩效目标较好完成。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4.</w:t>
      </w:r>
      <w:r>
        <w:rPr>
          <w:rFonts w:hint="eastAsia" w:ascii="仿宋_GB2312" w:hAnsi="仿宋" w:eastAsia="仿宋_GB2312"/>
          <w:sz w:val="32"/>
          <w:szCs w:val="32"/>
        </w:rPr>
        <w:t>产出</w:t>
      </w:r>
      <w:r>
        <w:rPr>
          <w:rFonts w:ascii="仿宋_GB2312" w:hAnsi="仿宋" w:eastAsia="仿宋_GB2312"/>
          <w:sz w:val="32"/>
          <w:szCs w:val="32"/>
        </w:rPr>
        <w:t>成本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各项工作成本均控制在预算范围内，产出成本绩效目标完成。                                     </w:t>
      </w:r>
    </w:p>
    <w:p>
      <w:p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1.经济效益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服务跟踪重点存量企业，加强招商引资拓展增量，开展海外招商并做推介，利用区位优势积极推进首店经济。</w:t>
      </w:r>
      <w:r>
        <w:rPr>
          <w:rFonts w:hint="eastAsia" w:ascii="仿宋_GB2312" w:eastAsia="仿宋_GB2312"/>
          <w:color w:val="222222"/>
          <w:sz w:val="32"/>
          <w:szCs w:val="32"/>
        </w:rPr>
        <w:t>推进国际消费中心城市主承载区和CBD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×</w:t>
      </w:r>
      <w:r>
        <w:rPr>
          <w:rFonts w:hint="eastAsia" w:ascii="仿宋_GB2312" w:eastAsia="仿宋_GB2312"/>
          <w:color w:val="222222"/>
          <w:sz w:val="32"/>
          <w:szCs w:val="32"/>
        </w:rPr>
        <w:t>三里屯国际消费体验区建设，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开展以国际周、生活节、三里屯日、科技数字周、艺术季五个版块为主要内容的系列活动，文商旅体融合激发消费潜能。</w:t>
      </w:r>
      <w:r>
        <w:rPr>
          <w:rFonts w:hint="eastAsia" w:ascii="仿宋_GB2312" w:eastAsia="仿宋_GB2312"/>
          <w:color w:val="222222"/>
          <w:sz w:val="32"/>
          <w:szCs w:val="32"/>
        </w:rPr>
        <w:t>在商圈环境秩序治理提升、商业体改造更新、首店旗舰店引进、协调推进新工体商业空间利用等方面取得实效。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2.社会效益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党建工作统筹各方，着力构建共同体、大党建格局体系。落成骑手驿站、商圈益立方等标杆阵地，社区全时驿站实现全覆盖。深化“一社一品”品牌矩阵打造，完善社区党建网格化建设。全年开展京港澳青年生活节、新工体必吃嘉年华、国际美食节等活动，吸引本地商户积极参与，“线上+线下”广泛宣传，带动客流量、拉动消费额。新建街道级社会工作服务中心，设置社会工作服务站；开展“共创共享未来”为主题的社区创享项目；引入社会资本，开展未来星社区资助计划项目。针对重大活动、敏感日、重点防控点位进行服务保障，维护地区安全稳定。组织开展围绕保障重点区域交通秩序维护，深挖错时停车资源解决居民停车难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新增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电动自行车</w:t>
      </w:r>
      <w:r>
        <w:rPr>
          <w:rFonts w:hint="eastAsia" w:ascii="仿宋_GB2312" w:hAnsi="仿宋_GB2312" w:eastAsia="仿宋_GB2312" w:cs="仿宋_GB2312"/>
          <w:sz w:val="32"/>
          <w:szCs w:val="32"/>
        </w:rPr>
        <w:t>充电设施，基本满足居住群众充电需求。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优化办事流程，高标准完成便民服务各项工作，在辖区就业帮扶、失业受理、灵活就业、退休服务等各项工作均取得实效。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3.环境效益</w:t>
      </w:r>
    </w:p>
    <w:p>
      <w:pPr>
        <w:spacing w:line="560" w:lineRule="exact"/>
        <w:ind w:left="105" w:leftChars="50" w:firstLine="640" w:firstLineChars="200"/>
        <w:rPr>
          <w:rFonts w:ascii="仿宋_GB2312" w:eastAsia="仿宋_GB2312"/>
          <w:color w:val="222222"/>
          <w:sz w:val="32"/>
          <w:szCs w:val="32"/>
        </w:rPr>
      </w:pPr>
      <w:r>
        <w:rPr>
          <w:rFonts w:hint="eastAsia" w:ascii="仿宋_GB2312" w:eastAsia="仿宋_GB2312"/>
          <w:color w:val="222222"/>
          <w:sz w:val="32"/>
          <w:szCs w:val="32"/>
        </w:rPr>
        <w:t>在文明城区创建、垃圾分类、城市更新、物业管理、环境治理提升、大气污染防治、河道管理等方面均取得工作进展和实效。进一步推进垃圾分类工作，高质量开展河长制工作，落实“清管行动”，推进错接混接工作，推进完成雨污混接的改造。环境办各月考核基本保持在全区上游水平。参与市重大办调度轨道交通项目，协调17号线、3号线工体站顺利通车运行。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4.可持续性影响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党建工作通过统企业、统群域、统机制，持续提高“两个覆盖”，激发“协同联动”，完善“四化协同”，坚持党建工作与民生保障、城市管理、平安建设、社区建设等工作同谋划、同部署、同推进。积极走访重点企业，做好服务，年度税源始终保持增长。安全生产和消防工作整体稳定，开展隐患排查治理“回头看”工作。持续完善养老服务体系，保障辖区劳动权益，提升助残服务水平，开展便民服务工作，对社会救助对象动态管理，兜牢民生底线。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5.服务对象满意度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宋体"/>
          <w:color w:val="000000"/>
          <w:kern w:val="0"/>
          <w:sz w:val="32"/>
          <w:szCs w:val="32"/>
        </w:rPr>
        <w:t>辖区内工作人员、群众及各类受益群体，满意度均保持在90%以上。</w:t>
      </w:r>
    </w:p>
    <w:p>
      <w:pPr>
        <w:spacing w:line="560" w:lineRule="exact"/>
        <w:ind w:left="105" w:leftChars="50"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>
      <w:p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制定完善的财务管理制度，明确财务管理的流程、规范和标准，提高财务管理的规范性和效率，确保财务管理制度的执行力度。认真贯彻执行国家财务管理制度，包括但不限于：经费收支预算管理、经费支出的管理原则和审批权限、国内公务接待管理、固定资产管理等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主动接受社会监督，确保财政资金始终在阳光下运行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，编报街道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年度部门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各类报表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开展多轮预算编报协调会，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依法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公开年度部门预算。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宋体"/>
          <w:color w:val="000000"/>
          <w:kern w:val="0"/>
          <w:sz w:val="32"/>
          <w:szCs w:val="32"/>
        </w:rPr>
        <w:t>按部门预算规定，严格进行预算管理，统筹安排使用。高度重视支出进度考核，紧盯大额资金，分解细化专项资金，梳理资金动态，发放进度表，协调政采项目。严格按照批准的范围、用途和规定的标准列支各项项目支出，相关各科室按照相关制度提供支出依据。</w:t>
      </w:r>
    </w:p>
    <w:p>
      <w:pPr>
        <w:spacing w:line="560" w:lineRule="exact"/>
        <w:ind w:left="105" w:leftChars="50"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宋体"/>
          <w:color w:val="000000"/>
          <w:kern w:val="0"/>
          <w:sz w:val="32"/>
          <w:szCs w:val="32"/>
        </w:rPr>
        <w:t>进一步健全财务</w:t>
      </w:r>
      <w:r>
        <w:rPr>
          <w:rFonts w:eastAsia="仿宋_GB2312" w:cs="宋体"/>
          <w:color w:val="000000"/>
          <w:kern w:val="0"/>
          <w:sz w:val="32"/>
          <w:szCs w:val="32"/>
        </w:rPr>
        <w:t>管理制度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，加强对科室人员的管理。强调提高思想认识，严守各类制度和纪律，坚决杜绝违规支出和浪费现象。进一步提高业务能力，做好会计记账、算账、报账，及内部会计管理制度设定等相关工作。</w:t>
      </w:r>
    </w:p>
    <w:p>
      <w:p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宋体"/>
          <w:color w:val="000000"/>
          <w:kern w:val="0"/>
          <w:sz w:val="32"/>
          <w:szCs w:val="32"/>
        </w:rPr>
        <w:t>202</w:t>
      </w:r>
      <w:r>
        <w:rPr>
          <w:rFonts w:eastAsia="仿宋_GB2312" w:cs="宋体"/>
          <w:color w:val="000000"/>
          <w:kern w:val="0"/>
          <w:sz w:val="32"/>
          <w:szCs w:val="32"/>
        </w:rPr>
        <w:t>4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年，本部门汽车25辆，401.458140万元；单价在50万元以上的通用设备0台（套）；单价100万元以上的专用设备0台（套）。</w:t>
      </w:r>
    </w:p>
    <w:p>
      <w:pPr>
        <w:numPr>
          <w:ilvl w:val="0"/>
          <w:numId w:val="1"/>
        </w:num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绩效</w:t>
      </w:r>
      <w:r>
        <w:rPr>
          <w:rFonts w:ascii="楷体_GB2312" w:eastAsia="楷体_GB2312"/>
          <w:sz w:val="32"/>
          <w:szCs w:val="32"/>
        </w:rPr>
        <w:t>管理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年初设立部门整体支出绩效目标及各项支出绩效目标，年中持续对绩效进行动态监测，年终进行绩效评价。</w:t>
      </w:r>
    </w:p>
    <w:p>
      <w:pPr>
        <w:spacing w:line="56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（四）结转结余率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宋体"/>
          <w:color w:val="000000"/>
          <w:kern w:val="0"/>
          <w:sz w:val="32"/>
          <w:szCs w:val="32"/>
        </w:rPr>
        <w:t>结转结余总额</w:t>
      </w:r>
      <w:r>
        <w:rPr>
          <w:rFonts w:eastAsia="仿宋_GB2312" w:cs="宋体"/>
          <w:color w:val="000000"/>
          <w:kern w:val="0"/>
          <w:sz w:val="32"/>
          <w:szCs w:val="32"/>
        </w:rPr>
        <w:t>83.02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万元, 支出预算数</w:t>
      </w:r>
      <w:r>
        <w:rPr>
          <w:rFonts w:eastAsia="仿宋_GB2312" w:cs="宋体"/>
          <w:color w:val="000000"/>
          <w:kern w:val="0"/>
          <w:sz w:val="32"/>
          <w:szCs w:val="32"/>
        </w:rPr>
        <w:t>14253.82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万元，结转结余率0</w:t>
      </w:r>
      <w:r>
        <w:rPr>
          <w:rFonts w:eastAsia="仿宋_GB2312" w:cs="宋体"/>
          <w:color w:val="000000"/>
          <w:kern w:val="0"/>
          <w:sz w:val="32"/>
          <w:szCs w:val="32"/>
        </w:rPr>
        <w:t>.58%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（五）部门</w:t>
      </w:r>
      <w:r>
        <w:rPr>
          <w:rFonts w:ascii="楷体_GB2312" w:eastAsia="楷体_GB2312"/>
          <w:sz w:val="32"/>
          <w:szCs w:val="32"/>
        </w:rPr>
        <w:t>预决算差异率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宋体"/>
          <w:color w:val="000000"/>
          <w:kern w:val="0"/>
          <w:sz w:val="32"/>
          <w:szCs w:val="32"/>
        </w:rPr>
        <w:t>年度部门决算</w:t>
      </w:r>
      <w:r>
        <w:rPr>
          <w:rFonts w:eastAsia="仿宋_GB2312" w:cs="宋体"/>
          <w:color w:val="000000"/>
          <w:kern w:val="0"/>
          <w:sz w:val="32"/>
          <w:szCs w:val="32"/>
        </w:rPr>
        <w:t>14253.82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万元，年初部门预算</w:t>
      </w:r>
      <w:r>
        <w:rPr>
          <w:rFonts w:eastAsia="仿宋_GB2312" w:cs="宋体"/>
          <w:color w:val="000000"/>
          <w:kern w:val="0"/>
          <w:sz w:val="32"/>
          <w:szCs w:val="32"/>
        </w:rPr>
        <w:t>11079.73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万元，通过年度部门决算与年初部门预算对比，部门</w:t>
      </w:r>
      <w:r>
        <w:rPr>
          <w:rFonts w:eastAsia="仿宋_GB2312" w:cs="宋体"/>
          <w:color w:val="000000"/>
          <w:kern w:val="0"/>
          <w:sz w:val="32"/>
          <w:szCs w:val="32"/>
        </w:rPr>
        <w:t>预决算差异率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-</w:t>
      </w:r>
      <w:r>
        <w:rPr>
          <w:rFonts w:eastAsia="仿宋_GB2312" w:cs="宋体"/>
          <w:color w:val="000000"/>
          <w:kern w:val="0"/>
          <w:sz w:val="32"/>
          <w:szCs w:val="32"/>
        </w:rPr>
        <w:t>28.65%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560" w:lineRule="exact"/>
        <w:ind w:left="105" w:leftChars="50"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eastAsia="仿宋_GB2312" w:cs="宋体"/>
          <w:color w:val="000000"/>
          <w:kern w:val="0"/>
          <w:sz w:val="32"/>
          <w:szCs w:val="32"/>
        </w:rPr>
        <w:t>三里屯街道202</w:t>
      </w:r>
      <w:r>
        <w:rPr>
          <w:rFonts w:eastAsia="仿宋_GB2312" w:cs="宋体"/>
          <w:color w:val="000000"/>
          <w:kern w:val="0"/>
          <w:sz w:val="32"/>
          <w:szCs w:val="32"/>
        </w:rPr>
        <w:t>4</w:t>
      </w:r>
      <w:r>
        <w:rPr>
          <w:rFonts w:hint="eastAsia" w:eastAsia="仿宋_GB2312" w:cs="宋体"/>
          <w:color w:val="000000"/>
          <w:kern w:val="0"/>
          <w:sz w:val="32"/>
          <w:szCs w:val="32"/>
        </w:rPr>
        <w:t>年度按照预算执行计划有序开展各项活动，绩效目标完成度较高，预算执行绩效与绩效目标基本一致。</w:t>
      </w:r>
    </w:p>
    <w:p>
      <w:pPr>
        <w:numPr>
          <w:ilvl w:val="0"/>
          <w:numId w:val="2"/>
        </w:numPr>
        <w:spacing w:line="560" w:lineRule="exact"/>
        <w:ind w:left="105" w:leftChars="5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存在的问题及原因分析</w:t>
      </w:r>
    </w:p>
    <w:p>
      <w:pPr>
        <w:spacing w:line="560" w:lineRule="exact"/>
        <w:ind w:left="585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无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无</w:t>
      </w:r>
    </w:p>
    <w:p>
      <w:pPr>
        <w:pStyle w:val="7"/>
        <w:spacing w:line="560" w:lineRule="exact"/>
        <w:ind w:firstLine="640"/>
        <w:rPr>
          <w:rFonts w:eastAsia="仿宋_GB2312" w:cs="宋体"/>
          <w:color w:val="000000"/>
          <w:kern w:val="0"/>
          <w:sz w:val="32"/>
          <w:szCs w:val="32"/>
        </w:rPr>
      </w:pPr>
    </w:p>
    <w:p>
      <w:pPr>
        <w:pStyle w:val="7"/>
        <w:spacing w:line="560" w:lineRule="exact"/>
        <w:ind w:firstLine="640"/>
        <w:rPr>
          <w:rFonts w:hint="eastAsia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AD4C4"/>
    <w:multiLevelType w:val="singleLevel"/>
    <w:tmpl w:val="DE4AD4C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CADA09D"/>
    <w:multiLevelType w:val="singleLevel"/>
    <w:tmpl w:val="6CADA09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39DF"/>
    <w:rsid w:val="00025964"/>
    <w:rsid w:val="0008385C"/>
    <w:rsid w:val="000D73C7"/>
    <w:rsid w:val="000E56D7"/>
    <w:rsid w:val="00101EAB"/>
    <w:rsid w:val="00172834"/>
    <w:rsid w:val="001728AF"/>
    <w:rsid w:val="001C7834"/>
    <w:rsid w:val="001E1AA4"/>
    <w:rsid w:val="001E2B22"/>
    <w:rsid w:val="001F0737"/>
    <w:rsid w:val="002129ED"/>
    <w:rsid w:val="002473C1"/>
    <w:rsid w:val="00282B0E"/>
    <w:rsid w:val="002B7F2F"/>
    <w:rsid w:val="0036498C"/>
    <w:rsid w:val="00375C0C"/>
    <w:rsid w:val="003A19E7"/>
    <w:rsid w:val="003A4458"/>
    <w:rsid w:val="003D4C7E"/>
    <w:rsid w:val="003F170D"/>
    <w:rsid w:val="003F28D9"/>
    <w:rsid w:val="00424DB4"/>
    <w:rsid w:val="00434017"/>
    <w:rsid w:val="0049257E"/>
    <w:rsid w:val="00494A64"/>
    <w:rsid w:val="004D30AC"/>
    <w:rsid w:val="005444F7"/>
    <w:rsid w:val="0055246A"/>
    <w:rsid w:val="00553BDE"/>
    <w:rsid w:val="005705A6"/>
    <w:rsid w:val="0057202C"/>
    <w:rsid w:val="005C3FBE"/>
    <w:rsid w:val="005E3946"/>
    <w:rsid w:val="00626423"/>
    <w:rsid w:val="00680711"/>
    <w:rsid w:val="00712DC4"/>
    <w:rsid w:val="00751754"/>
    <w:rsid w:val="00765798"/>
    <w:rsid w:val="00765CC3"/>
    <w:rsid w:val="007E41B6"/>
    <w:rsid w:val="00806157"/>
    <w:rsid w:val="00831663"/>
    <w:rsid w:val="00852CFB"/>
    <w:rsid w:val="008E6BA8"/>
    <w:rsid w:val="00925A2B"/>
    <w:rsid w:val="009370E5"/>
    <w:rsid w:val="00940321"/>
    <w:rsid w:val="009C766E"/>
    <w:rsid w:val="00A41D5F"/>
    <w:rsid w:val="00A51F61"/>
    <w:rsid w:val="00A9507C"/>
    <w:rsid w:val="00A972E8"/>
    <w:rsid w:val="00AA0257"/>
    <w:rsid w:val="00AE550C"/>
    <w:rsid w:val="00B03B70"/>
    <w:rsid w:val="00B04989"/>
    <w:rsid w:val="00B44DE4"/>
    <w:rsid w:val="00B54867"/>
    <w:rsid w:val="00BF0BF6"/>
    <w:rsid w:val="00BF10EC"/>
    <w:rsid w:val="00C2520E"/>
    <w:rsid w:val="00C52583"/>
    <w:rsid w:val="00CC0F35"/>
    <w:rsid w:val="00CF07EE"/>
    <w:rsid w:val="00CF28A7"/>
    <w:rsid w:val="00CF5CE9"/>
    <w:rsid w:val="00D5210F"/>
    <w:rsid w:val="00D97467"/>
    <w:rsid w:val="00DB1E93"/>
    <w:rsid w:val="00DC0E0F"/>
    <w:rsid w:val="00E01382"/>
    <w:rsid w:val="00E13891"/>
    <w:rsid w:val="00E617B2"/>
    <w:rsid w:val="00E72E03"/>
    <w:rsid w:val="00E808BC"/>
    <w:rsid w:val="00EE3374"/>
    <w:rsid w:val="00F03CB3"/>
    <w:rsid w:val="00F22DEC"/>
    <w:rsid w:val="00F42C33"/>
    <w:rsid w:val="00F9198F"/>
    <w:rsid w:val="00F97323"/>
    <w:rsid w:val="00F97F7B"/>
    <w:rsid w:val="00FE47EC"/>
    <w:rsid w:val="00FF3E9B"/>
    <w:rsid w:val="071D5BBA"/>
    <w:rsid w:val="0AF62277"/>
    <w:rsid w:val="1A3A7BAD"/>
    <w:rsid w:val="1CFA34F8"/>
    <w:rsid w:val="255D778F"/>
    <w:rsid w:val="2F321339"/>
    <w:rsid w:val="3DFA317F"/>
    <w:rsid w:val="5B1D39DF"/>
    <w:rsid w:val="5E423AFE"/>
    <w:rsid w:val="69C91FDD"/>
    <w:rsid w:val="7F94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semiHidden/>
    <w:unhideWhenUsed/>
    <w:qFormat/>
    <w:uiPriority w:val="0"/>
    <w:pPr>
      <w:spacing w:after="120"/>
      <w:ind w:left="420" w:leftChars="200"/>
    </w:p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ody Text First Indent 2"/>
    <w:basedOn w:val="2"/>
    <w:link w:val="12"/>
    <w:unhideWhenUsed/>
    <w:qFormat/>
    <w:uiPriority w:val="99"/>
    <w:pPr>
      <w:spacing w:after="0"/>
      <w:ind w:left="0" w:leftChars="0" w:firstLine="420" w:firstLineChars="200"/>
    </w:pPr>
    <w:rPr>
      <w:rFonts w:ascii="仿宋_GB2312" w:hAnsi="宋体"/>
    </w:rPr>
  </w:style>
  <w:style w:type="character" w:customStyle="1" w:styleId="10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正文文本缩进 字符"/>
    <w:basedOn w:val="9"/>
    <w:link w:val="2"/>
    <w:semiHidden/>
    <w:uiPriority w:val="0"/>
    <w:rPr>
      <w:rFonts w:ascii="Times New Roman" w:hAnsi="Times New Roman"/>
      <w:kern w:val="2"/>
      <w:sz w:val="21"/>
      <w:szCs w:val="24"/>
    </w:rPr>
  </w:style>
  <w:style w:type="character" w:customStyle="1" w:styleId="12">
    <w:name w:val="正文文本首行缩进 2 字符"/>
    <w:basedOn w:val="11"/>
    <w:link w:val="7"/>
    <w:qFormat/>
    <w:uiPriority w:val="99"/>
    <w:rPr>
      <w:rFonts w:ascii="仿宋_GB2312" w:hAnsi="宋体"/>
      <w:kern w:val="2"/>
      <w:sz w:val="21"/>
      <w:szCs w:val="24"/>
    </w:rPr>
  </w:style>
  <w:style w:type="character" w:customStyle="1" w:styleId="13">
    <w:name w:val="日期 字符"/>
    <w:basedOn w:val="9"/>
    <w:link w:val="3"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548</Words>
  <Characters>3127</Characters>
  <Lines>26</Lines>
  <Paragraphs>7</Paragraphs>
  <TotalTime>724</TotalTime>
  <ScaleCrop>false</ScaleCrop>
  <LinksUpToDate>false</LinksUpToDate>
  <CharactersWithSpaces>3668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Administrator</cp:lastModifiedBy>
  <cp:lastPrinted>2025-01-16T06:24:00Z</cp:lastPrinted>
  <dcterms:modified xsi:type="dcterms:W3CDTF">2025-08-27T01:42:47Z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D74A1E68B4CF479AA8CADEF9CD0A7EB8</vt:lpwstr>
  </property>
</Properties>
</file>